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5C59" w14:textId="77777777" w:rsidR="007776C6" w:rsidRDefault="007776C6" w:rsidP="007776C6">
      <w:pPr>
        <w:ind w:firstLine="0"/>
        <w:rPr>
          <w:b/>
          <w:bCs/>
          <w:szCs w:val="24"/>
        </w:rPr>
      </w:pPr>
      <w:r>
        <w:rPr>
          <w:b/>
          <w:bCs/>
          <w:szCs w:val="24"/>
        </w:rPr>
        <w:t>Compartimentul Transport</w:t>
      </w:r>
    </w:p>
    <w:p w14:paraId="46AF7D86" w14:textId="77777777" w:rsidR="007776C6" w:rsidRDefault="007776C6" w:rsidP="007776C6">
      <w:pPr>
        <w:ind w:firstLine="0"/>
        <w:rPr>
          <w:b/>
          <w:bCs/>
          <w:szCs w:val="24"/>
        </w:rPr>
      </w:pPr>
      <w:r>
        <w:rPr>
          <w:b/>
          <w:bCs/>
          <w:szCs w:val="24"/>
        </w:rPr>
        <w:t>Serviciul Administrație Publică Locală (APL)</w:t>
      </w:r>
    </w:p>
    <w:p w14:paraId="556F6A8D" w14:textId="77777777" w:rsidR="007776C6" w:rsidRDefault="007776C6" w:rsidP="007776C6">
      <w:pPr>
        <w:ind w:firstLine="0"/>
        <w:rPr>
          <w:b/>
          <w:bCs/>
          <w:szCs w:val="24"/>
        </w:rPr>
      </w:pPr>
      <w:r>
        <w:rPr>
          <w:b/>
          <w:bCs/>
          <w:szCs w:val="24"/>
        </w:rPr>
        <w:t>Serviciul Taxe și Impozite, Buget, contabilitate</w:t>
      </w:r>
    </w:p>
    <w:p w14:paraId="4EBEDAD4" w14:textId="77777777" w:rsidR="003D7C9D" w:rsidRDefault="003D7C9D">
      <w:pPr>
        <w:rPr>
          <w:b/>
          <w:bCs/>
          <w:szCs w:val="24"/>
        </w:rPr>
      </w:pPr>
    </w:p>
    <w:p w14:paraId="33BB3D82" w14:textId="31BBBC16" w:rsidR="00103410" w:rsidRDefault="00000000">
      <w:r>
        <w:rPr>
          <w:b/>
          <w:bCs/>
          <w:szCs w:val="24"/>
        </w:rPr>
        <w:t xml:space="preserve">Nr. </w:t>
      </w:r>
      <w:r w:rsidR="00AE788A">
        <w:rPr>
          <w:b/>
          <w:bCs/>
          <w:szCs w:val="24"/>
        </w:rPr>
        <w:t>9056/28.03.2026</w:t>
      </w:r>
    </w:p>
    <w:p w14:paraId="31337CCB" w14:textId="77777777" w:rsidR="00103410" w:rsidRDefault="00000000">
      <w:r>
        <w:rPr>
          <w:szCs w:val="24"/>
        </w:rPr>
        <w:pict w14:anchorId="182866C2">
          <v:rect id="_x0000_i1025" style="width:0;height:1.5pt" o:hralign="center" o:hrstd="t" o:hr="t"/>
        </w:pict>
      </w:r>
    </w:p>
    <w:p w14:paraId="1F47460C" w14:textId="77777777" w:rsidR="00103410" w:rsidRDefault="00000000">
      <w:pPr>
        <w:pStyle w:val="Titlu1"/>
      </w:pPr>
      <w:bookmarkStart w:id="0" w:name="raport-de-specialitate"/>
      <w:r>
        <w:rPr>
          <w:rFonts w:ascii="Times New Roman" w:eastAsia="Times New Roman" w:hAnsi="Times New Roman" w:cs="Times New Roman"/>
        </w:rPr>
        <w:t>RAPORT DE SPECIALITATE</w:t>
      </w:r>
    </w:p>
    <w:p w14:paraId="7B83C8C8" w14:textId="77777777" w:rsidR="003B7A35" w:rsidRDefault="00000000" w:rsidP="00C605DB">
      <w:pPr>
        <w:pStyle w:val="Titlu2"/>
        <w:jc w:val="center"/>
        <w:rPr>
          <w:rFonts w:ascii="Times New Roman" w:eastAsia="Times New Roman" w:hAnsi="Times New Roman" w:cs="Times New Roman"/>
        </w:rPr>
      </w:pPr>
      <w:bookmarkStart w:id="1" w:name="X712b26f950ad0d264f36609cb9a5ade5019cf5f"/>
      <w:r>
        <w:rPr>
          <w:rFonts w:ascii="Times New Roman" w:eastAsia="Times New Roman" w:hAnsi="Times New Roman" w:cs="Times New Roman"/>
        </w:rPr>
        <w:t xml:space="preserve">la proiectul de hotărâre </w:t>
      </w:r>
      <w:r w:rsidR="003B7A35">
        <w:rPr>
          <w:rFonts w:ascii="Times New Roman" w:eastAsia="Times New Roman" w:hAnsi="Times New Roman" w:cs="Times New Roman"/>
        </w:rPr>
        <w:t xml:space="preserve">nr. 40/9054/28.05.2026 </w:t>
      </w:r>
    </w:p>
    <w:p w14:paraId="0C570D15" w14:textId="76FA4DB3" w:rsidR="00103410" w:rsidRDefault="00000000" w:rsidP="00C605DB">
      <w:pPr>
        <w:pStyle w:val="Titlu2"/>
        <w:jc w:val="center"/>
      </w:pPr>
      <w:r>
        <w:rPr>
          <w:rFonts w:ascii="Times New Roman" w:eastAsia="Times New Roman" w:hAnsi="Times New Roman" w:cs="Times New Roman"/>
        </w:rPr>
        <w:t>privind aprobarea Regulamentului pentru dezvoltarea sistemului de transport public local de călători la nivelul U.A.T. Orașul Buziaș — componenta urban-</w:t>
      </w:r>
      <w:proofErr w:type="spellStart"/>
      <w:r>
        <w:rPr>
          <w:rFonts w:ascii="Times New Roman" w:eastAsia="Times New Roman" w:hAnsi="Times New Roman" w:cs="Times New Roman"/>
        </w:rPr>
        <w:t>periurban</w:t>
      </w:r>
      <w:proofErr w:type="spellEnd"/>
      <w:r>
        <w:rPr>
          <w:rFonts w:ascii="Times New Roman" w:eastAsia="Times New Roman" w:hAnsi="Times New Roman" w:cs="Times New Roman"/>
        </w:rPr>
        <w:t xml:space="preserve"> intern cu microbuze electrice</w:t>
      </w:r>
    </w:p>
    <w:p w14:paraId="029DA67D" w14:textId="77777777" w:rsidR="00103410" w:rsidRDefault="00000000">
      <w:r>
        <w:rPr>
          <w:szCs w:val="24"/>
        </w:rPr>
        <w:pict w14:anchorId="60FADAFE">
          <v:rect id="_x0000_i1026" style="width:0;height:1.5pt" o:hralign="center" o:hrstd="t" o:hr="t"/>
        </w:pict>
      </w:r>
    </w:p>
    <w:p w14:paraId="7508C44D" w14:textId="77777777" w:rsidR="00103410" w:rsidRDefault="00000000">
      <w:pPr>
        <w:pStyle w:val="Titlu2"/>
      </w:pPr>
      <w:bookmarkStart w:id="2" w:name="obiectul-proiectului-de-hotărâre"/>
      <w:bookmarkEnd w:id="1"/>
      <w:r>
        <w:rPr>
          <w:rFonts w:ascii="Times New Roman" w:eastAsia="Times New Roman" w:hAnsi="Times New Roman" w:cs="Times New Roman"/>
        </w:rPr>
        <w:t>1. Obiectul proiectului de hotărâre</w:t>
      </w:r>
    </w:p>
    <w:p w14:paraId="6C5FB555" w14:textId="1418A307" w:rsidR="00103410" w:rsidRDefault="00000000">
      <w:r>
        <w:rPr>
          <w:szCs w:val="24"/>
        </w:rPr>
        <w:t>Proiectul de hotărâre, inițiat de Primarul Orașului Buziaș (Referat de aprobare nr.</w:t>
      </w:r>
      <w:r w:rsidR="00C605DB">
        <w:rPr>
          <w:szCs w:val="24"/>
        </w:rPr>
        <w:t>9055/28.05.2026</w:t>
      </w:r>
      <w:r>
        <w:rPr>
          <w:szCs w:val="24"/>
        </w:rPr>
        <w:t>), are ca obiect aprobarea Regulamentului specific privind componenta urban-</w:t>
      </w:r>
      <w:proofErr w:type="spellStart"/>
      <w:r>
        <w:rPr>
          <w:szCs w:val="24"/>
        </w:rPr>
        <w:t>periurban</w:t>
      </w:r>
      <w:proofErr w:type="spellEnd"/>
      <w:r>
        <w:rPr>
          <w:szCs w:val="24"/>
        </w:rPr>
        <w:t xml:space="preserve"> internă a serviciului public de transport local de călători efectuat cu microbuze electrice, ca anexă la hotărâre.</w:t>
      </w:r>
    </w:p>
    <w:p w14:paraId="2EBC7C49" w14:textId="77777777" w:rsidR="00103410" w:rsidRDefault="00000000">
      <w:pPr>
        <w:pStyle w:val="Titlu2"/>
      </w:pPr>
      <w:bookmarkStart w:id="3" w:name="analiza-juridică"/>
      <w:bookmarkEnd w:id="2"/>
      <w:r>
        <w:rPr>
          <w:rFonts w:ascii="Times New Roman" w:eastAsia="Times New Roman" w:hAnsi="Times New Roman" w:cs="Times New Roman"/>
        </w:rPr>
        <w:t>2. Analiza juridică</w:t>
      </w:r>
    </w:p>
    <w:p w14:paraId="0FF8C07C" w14:textId="77777777" w:rsidR="00103410" w:rsidRDefault="00000000">
      <w:pPr>
        <w:pStyle w:val="Titlu3"/>
      </w:pPr>
      <w:bookmarkStart w:id="4" w:name="temeiul-legal"/>
      <w:r>
        <w:rPr>
          <w:rFonts w:ascii="Times New Roman" w:eastAsia="Times New Roman" w:hAnsi="Times New Roman" w:cs="Times New Roman"/>
        </w:rPr>
        <w:t>2.1. Temeiul legal</w:t>
      </w:r>
    </w:p>
    <w:p w14:paraId="54FCFEDB" w14:textId="77777777" w:rsidR="00103410" w:rsidRDefault="00000000">
      <w:r>
        <w:rPr>
          <w:szCs w:val="24"/>
        </w:rPr>
        <w:t xml:space="preserve">Proiectul se fundamentează pe: - </w:t>
      </w:r>
      <w:r>
        <w:rPr>
          <w:b/>
          <w:bCs/>
          <w:szCs w:val="24"/>
        </w:rPr>
        <w:t>Regulamentul (CE) nr. 1370/2007</w:t>
      </w:r>
      <w:r>
        <w:rPr>
          <w:szCs w:val="24"/>
        </w:rPr>
        <w:t xml:space="preserve"> — cadrul european al serviciilor publice de transport de călători; - </w:t>
      </w:r>
      <w:r>
        <w:rPr>
          <w:b/>
          <w:bCs/>
          <w:szCs w:val="24"/>
        </w:rPr>
        <w:t>Directiva (UE) 2019/1161</w:t>
      </w:r>
      <w:r>
        <w:rPr>
          <w:szCs w:val="24"/>
        </w:rPr>
        <w:t xml:space="preserve">, transpusă prin </w:t>
      </w:r>
      <w:r>
        <w:rPr>
          <w:b/>
          <w:bCs/>
          <w:szCs w:val="24"/>
        </w:rPr>
        <w:t>O.U.G. nr. 51/2022</w:t>
      </w:r>
      <w:r>
        <w:rPr>
          <w:szCs w:val="24"/>
        </w:rPr>
        <w:t xml:space="preserve"> — vehicule de transport rutier nepoluante; - </w:t>
      </w:r>
      <w:r>
        <w:rPr>
          <w:b/>
          <w:bCs/>
          <w:szCs w:val="24"/>
        </w:rPr>
        <w:t>Legea nr. 51/2006</w:t>
      </w:r>
      <w:r>
        <w:rPr>
          <w:szCs w:val="24"/>
        </w:rPr>
        <w:t xml:space="preserve">, art. 8 alin. (3) lit. e) — atribuția consiliului local de a aproba regulamentele serviciilor de utilități publice; - </w:t>
      </w:r>
      <w:r>
        <w:rPr>
          <w:b/>
          <w:bCs/>
          <w:szCs w:val="24"/>
        </w:rPr>
        <w:t>Legea nr. 92/2007</w:t>
      </w:r>
      <w:r>
        <w:rPr>
          <w:szCs w:val="24"/>
        </w:rPr>
        <w:t xml:space="preserve">, art. 17 alin. (1) — atribuțiile autorității locale în domeniul transportului public; - </w:t>
      </w:r>
      <w:r>
        <w:rPr>
          <w:b/>
          <w:bCs/>
          <w:szCs w:val="24"/>
        </w:rPr>
        <w:t>Ordinele ANRSC nr. 206/2007 și nr. 207/2007</w:t>
      </w:r>
      <w:r>
        <w:rPr>
          <w:szCs w:val="24"/>
        </w:rPr>
        <w:t xml:space="preserve"> — regulamentul-cadru și caietul de sarcini-cadru; - </w:t>
      </w:r>
      <w:r>
        <w:rPr>
          <w:b/>
          <w:bCs/>
          <w:szCs w:val="24"/>
        </w:rPr>
        <w:t>O.U.G. nr. 57/2019</w:t>
      </w:r>
      <w:r>
        <w:rPr>
          <w:szCs w:val="24"/>
        </w:rPr>
        <w:t xml:space="preserve"> — art. 129 alin. (2) lit. d) și alin. (7) lit. n) (atribuții consiliu local privind serviciile publice), art. 139 alin. (1) și (3) lit. c) (cvorum), art. 196 alin. (1) lit. a).</w:t>
      </w:r>
    </w:p>
    <w:p w14:paraId="08C9FF0A" w14:textId="77777777" w:rsidR="00103410" w:rsidRDefault="00000000">
      <w:pPr>
        <w:pStyle w:val="Titlu3"/>
      </w:pPr>
      <w:bookmarkStart w:id="5" w:name="X1f86d51905ce50494218d0228a3887c9b5a5749"/>
      <w:bookmarkEnd w:id="4"/>
      <w:r>
        <w:rPr>
          <w:rFonts w:ascii="Times New Roman" w:eastAsia="Times New Roman" w:hAnsi="Times New Roman" w:cs="Times New Roman"/>
        </w:rPr>
        <w:t>2.2. Raportul cu Regulamentul aprobat prin H.C.L. nr. 54/2022</w:t>
      </w:r>
    </w:p>
    <w:p w14:paraId="4849D030" w14:textId="77777777" w:rsidR="00103410" w:rsidRDefault="00000000">
      <w:r>
        <w:rPr>
          <w:szCs w:val="24"/>
        </w:rPr>
        <w:t xml:space="preserve">Regulamentul propus </w:t>
      </w:r>
      <w:r>
        <w:rPr>
          <w:b/>
          <w:bCs/>
          <w:szCs w:val="24"/>
        </w:rPr>
        <w:t>completează</w:t>
      </w:r>
      <w:r>
        <w:rPr>
          <w:szCs w:val="24"/>
        </w:rPr>
        <w:t xml:space="preserve"> regulamentul-cadru existent (H.C.L. nr. 54/31.05.2022), fără a-l abroga, având caracter de normă specială (</w:t>
      </w:r>
      <w:proofErr w:type="spellStart"/>
      <w:r>
        <w:rPr>
          <w:i/>
          <w:iCs/>
          <w:szCs w:val="24"/>
        </w:rPr>
        <w:t>specialia</w:t>
      </w:r>
      <w:proofErr w:type="spellEnd"/>
      <w:r>
        <w:rPr>
          <w:i/>
          <w:iCs/>
          <w:szCs w:val="24"/>
        </w:rPr>
        <w:t xml:space="preserve"> </w:t>
      </w:r>
      <w:proofErr w:type="spellStart"/>
      <w:r>
        <w:rPr>
          <w:i/>
          <w:iCs/>
          <w:szCs w:val="24"/>
        </w:rPr>
        <w:t>generalibus</w:t>
      </w:r>
      <w:proofErr w:type="spellEnd"/>
      <w:r>
        <w:rPr>
          <w:i/>
          <w:iCs/>
          <w:szCs w:val="24"/>
        </w:rPr>
        <w:t xml:space="preserve"> </w:t>
      </w:r>
      <w:proofErr w:type="spellStart"/>
      <w:r>
        <w:rPr>
          <w:i/>
          <w:iCs/>
          <w:szCs w:val="24"/>
        </w:rPr>
        <w:t>derogant</w:t>
      </w:r>
      <w:proofErr w:type="spellEnd"/>
      <w:r>
        <w:rPr>
          <w:szCs w:val="24"/>
        </w:rPr>
        <w:t>) pentru componenta cu microbuze electrice. Această tehnică legislativă este conformă cu Legea nr. 24/2000.</w:t>
      </w:r>
    </w:p>
    <w:p w14:paraId="52C4AC0F" w14:textId="77777777" w:rsidR="00103410" w:rsidRDefault="00000000">
      <w:pPr>
        <w:pStyle w:val="Titlu3"/>
      </w:pPr>
      <w:bookmarkStart w:id="6" w:name="aspecte-de-concurență-și-ajutor-de-stat"/>
      <w:bookmarkEnd w:id="5"/>
      <w:r>
        <w:rPr>
          <w:rFonts w:ascii="Times New Roman" w:eastAsia="Times New Roman" w:hAnsi="Times New Roman" w:cs="Times New Roman"/>
        </w:rPr>
        <w:lastRenderedPageBreak/>
        <w:t>2.3. Aspecte de concurență și ajutor de stat</w:t>
      </w:r>
    </w:p>
    <w:p w14:paraId="5E09A77F" w14:textId="77777777" w:rsidR="00103410" w:rsidRDefault="00000000">
      <w:r>
        <w:rPr>
          <w:szCs w:val="24"/>
        </w:rPr>
        <w:t xml:space="preserve">Regulamentul prevede expres: - solicitarea avizului Consiliului Concurenței (art. 25 din Legea nr. 21/1996), anterior atribuirii contractului de delegare și aprobării mecanismului de compensare; - publicarea anunțului de intenție în JOUE cu cel puțin 12 luni înainte de atribuire (art. 7 alin. (2) din Regulamentul (CE) nr. 1370/2007), cu excepțiile pentru operatorul mic și măsura de urgență; - compensarea conform Anexei la Regulamentul (CE) nr. 1370/2007, cu respectarea celor patru criterii </w:t>
      </w:r>
      <w:proofErr w:type="spellStart"/>
      <w:r>
        <w:rPr>
          <w:szCs w:val="24"/>
        </w:rPr>
        <w:t>Altmark</w:t>
      </w:r>
      <w:proofErr w:type="spellEnd"/>
      <w:r>
        <w:rPr>
          <w:szCs w:val="24"/>
        </w:rPr>
        <w:t>, separarea contabilă și mecanismul de recuperare a supra-compensării (</w:t>
      </w:r>
      <w:proofErr w:type="spellStart"/>
      <w:r>
        <w:rPr>
          <w:szCs w:val="24"/>
        </w:rPr>
        <w:t>claw</w:t>
      </w:r>
      <w:proofErr w:type="spellEnd"/>
      <w:r>
        <w:rPr>
          <w:szCs w:val="24"/>
        </w:rPr>
        <w:t>-back).</w:t>
      </w:r>
    </w:p>
    <w:p w14:paraId="336B8A21" w14:textId="77777777" w:rsidR="00103410" w:rsidRDefault="00000000">
      <w:pPr>
        <w:pStyle w:val="Titlu2"/>
      </w:pPr>
      <w:bookmarkStart w:id="7" w:name="analiza-tehnică"/>
      <w:bookmarkEnd w:id="3"/>
      <w:bookmarkEnd w:id="6"/>
      <w:r>
        <w:rPr>
          <w:rFonts w:ascii="Times New Roman" w:eastAsia="Times New Roman" w:hAnsi="Times New Roman" w:cs="Times New Roman"/>
        </w:rPr>
        <w:t>3. Analiza tehnică</w:t>
      </w:r>
    </w:p>
    <w:p w14:paraId="3F9EE968" w14:textId="77777777" w:rsidR="00103410" w:rsidRDefault="00000000">
      <w:r>
        <w:rPr>
          <w:szCs w:val="24"/>
        </w:rPr>
        <w:t xml:space="preserve">Regulamentul reglementează componenta finanțată prin Contractul PNRR nr. 135174/28.11.2022 (cu Actul adițional nr. 2/2024): - </w:t>
      </w:r>
      <w:r>
        <w:rPr>
          <w:b/>
          <w:bCs/>
          <w:szCs w:val="24"/>
        </w:rPr>
        <w:t>3 microbuze electrice nepoluante</w:t>
      </w:r>
      <w:r>
        <w:rPr>
          <w:szCs w:val="24"/>
        </w:rPr>
        <w:t xml:space="preserve"> (categoria M3, minimum 30 locuri, ≥100 kWh, autonomie ≥200 km, CCS Combo 2 / </w:t>
      </w:r>
      <w:proofErr w:type="spellStart"/>
      <w:r>
        <w:rPr>
          <w:szCs w:val="24"/>
        </w:rPr>
        <w:t>Type</w:t>
      </w:r>
      <w:proofErr w:type="spellEnd"/>
      <w:r>
        <w:rPr>
          <w:szCs w:val="24"/>
        </w:rPr>
        <w:t xml:space="preserve"> 2, garanție baterie 8 ani); - </w:t>
      </w:r>
      <w:r>
        <w:rPr>
          <w:b/>
          <w:bCs/>
          <w:szCs w:val="24"/>
        </w:rPr>
        <w:t>6 stații (12 puncte) de reîncărcare</w:t>
      </w:r>
      <w:r>
        <w:rPr>
          <w:szCs w:val="24"/>
        </w:rPr>
        <w:t xml:space="preserve">; - </w:t>
      </w:r>
      <w:r>
        <w:rPr>
          <w:b/>
          <w:bCs/>
          <w:szCs w:val="24"/>
        </w:rPr>
        <w:t>3 trasee interne</w:t>
      </w:r>
      <w:r>
        <w:rPr>
          <w:szCs w:val="24"/>
        </w:rPr>
        <w:t>: Buziaș-Bacova-Silagiu, Drumul Vinului, Cristian Șerban; - indicatori de performanță și mediu (kWh/km, CO₂ evitat, disponibilitate flotă); - siguranță specifică transportului electric și gestionarea bateriilor uzate (Regulamentul (UE) 2023/1542).</w:t>
      </w:r>
    </w:p>
    <w:p w14:paraId="4E6D1751" w14:textId="77777777" w:rsidR="00103410" w:rsidRDefault="00000000">
      <w:pPr>
        <w:pStyle w:val="Titlu2"/>
      </w:pPr>
      <w:bookmarkStart w:id="8" w:name="analiza-bugetară"/>
      <w:bookmarkEnd w:id="7"/>
      <w:r>
        <w:rPr>
          <w:rFonts w:ascii="Times New Roman" w:eastAsia="Times New Roman" w:hAnsi="Times New Roman" w:cs="Times New Roman"/>
        </w:rPr>
        <w:t>4. Analiza bugetară</w:t>
      </w:r>
    </w:p>
    <w:p w14:paraId="6649EC1A" w14:textId="77777777" w:rsidR="00A46425" w:rsidRPr="005574AC" w:rsidRDefault="00A46425" w:rsidP="00A46425">
      <w:pPr>
        <w:rPr>
          <w:color w:val="EE0000"/>
        </w:rPr>
      </w:pPr>
      <w:r w:rsidRPr="005574AC">
        <w:rPr>
          <w:color w:val="EE0000"/>
        </w:rPr>
        <w:t>Transport</w:t>
      </w:r>
      <w:r>
        <w:rPr>
          <w:color w:val="EE0000"/>
        </w:rPr>
        <w:t>ul public urban-</w:t>
      </w:r>
      <w:proofErr w:type="spellStart"/>
      <w:r>
        <w:rPr>
          <w:color w:val="EE0000"/>
        </w:rPr>
        <w:t>periurban</w:t>
      </w:r>
      <w:proofErr w:type="spellEnd"/>
      <w:r>
        <w:rPr>
          <w:color w:val="EE0000"/>
        </w:rPr>
        <w:t xml:space="preserve"> intern este asigurat în conformitate cu prevederile punctului 3 privind Ajutorul de stat din </w:t>
      </w:r>
      <w:r w:rsidRPr="00CC4872">
        <w:rPr>
          <w:color w:val="EE0000"/>
        </w:rPr>
        <w:t>PLANUL NAȚIONAL DE REDRESARE ȘI REZILIENȚĂ  GHID SPECIFIC - CONDIȚII DE ACCESARE A FONDURILOR EUROPENE AFERENTE PNRR ÎN CADRUL APELURILOR DE PROIECTE PNRR/2022/C10 COMPONENTA C10 – FONDUL LOCAL</w:t>
      </w:r>
      <w:r>
        <w:rPr>
          <w:color w:val="EE0000"/>
        </w:rPr>
        <w:t>.</w:t>
      </w:r>
    </w:p>
    <w:p w14:paraId="4A2464C7" w14:textId="0A579236" w:rsidR="00103410" w:rsidRDefault="00000000">
      <w:r>
        <w:rPr>
          <w:szCs w:val="24"/>
        </w:rPr>
        <w:t>Investiția (microbuze + infrastructură) este finanțată integral prin PNRR — valoare 5.272.211,70 lei. Cheltuielile de exploatare și compensarea serviciului public se suportă din bugetul local și prin mecanismul A.D.I., cu încadrare în alocările bugetare aprobate.</w:t>
      </w:r>
    </w:p>
    <w:p w14:paraId="713B04C6" w14:textId="77777777" w:rsidR="00103410" w:rsidRDefault="00000000">
      <w:pPr>
        <w:pStyle w:val="Titlu2"/>
      </w:pPr>
      <w:bookmarkStart w:id="9" w:name="analiza-de-oportunitate"/>
      <w:bookmarkEnd w:id="8"/>
      <w:r>
        <w:rPr>
          <w:rFonts w:ascii="Times New Roman" w:eastAsia="Times New Roman" w:hAnsi="Times New Roman" w:cs="Times New Roman"/>
        </w:rPr>
        <w:t>5. Analiza de oportunitate</w:t>
      </w:r>
    </w:p>
    <w:p w14:paraId="00332202" w14:textId="77777777" w:rsidR="00103410" w:rsidRDefault="00000000">
      <w:r>
        <w:rPr>
          <w:szCs w:val="24"/>
        </w:rPr>
        <w:t xml:space="preserve">Adoptarea regulamentului este oportună pentru </w:t>
      </w:r>
      <w:proofErr w:type="spellStart"/>
      <w:r>
        <w:rPr>
          <w:szCs w:val="24"/>
        </w:rPr>
        <w:t>funcționalizarea</w:t>
      </w:r>
      <w:proofErr w:type="spellEnd"/>
      <w:r>
        <w:rPr>
          <w:szCs w:val="24"/>
        </w:rPr>
        <w:t xml:space="preserve"> legală a serviciului de transport electric, respectarea obligațiilor de sustenabilitate PNRR (durabilitate minimum 5 ani, conformitate DNSH) și alinierea cu Strategia de Transport și PMUD Buziaș 2023-2035.</w:t>
      </w:r>
    </w:p>
    <w:p w14:paraId="44AC66CA" w14:textId="77777777" w:rsidR="00103410" w:rsidRDefault="00000000">
      <w:pPr>
        <w:pStyle w:val="Titlu2"/>
      </w:pPr>
      <w:bookmarkStart w:id="10" w:name="concluzie-și-aviz"/>
      <w:bookmarkEnd w:id="9"/>
      <w:r>
        <w:rPr>
          <w:rFonts w:ascii="Times New Roman" w:eastAsia="Times New Roman" w:hAnsi="Times New Roman" w:cs="Times New Roman"/>
        </w:rPr>
        <w:t>6. Concluzie și aviz</w:t>
      </w:r>
    </w:p>
    <w:p w14:paraId="24F038D7" w14:textId="77777777" w:rsidR="00103410" w:rsidRDefault="00000000">
      <w:r>
        <w:rPr>
          <w:szCs w:val="24"/>
        </w:rPr>
        <w:t xml:space="preserve">Proiectul de hotărâre respectă cadrul legal aplicabil și normele de tehnică legislativă. Compartimentele de specialitate acordă </w:t>
      </w:r>
      <w:r>
        <w:rPr>
          <w:b/>
          <w:bCs/>
          <w:szCs w:val="24"/>
        </w:rPr>
        <w:t>AVIZ FAVORABIL</w:t>
      </w:r>
      <w:r>
        <w:rPr>
          <w:szCs w:val="24"/>
        </w:rPr>
        <w:t xml:space="preserve"> adoptării proiectului de hotărâre privind aprobarea Regulamentului pentru dezvoltarea sistemului de transport public local de călători la nivelul U.A.T. Orașul Buziaș — componenta urban-</w:t>
      </w:r>
      <w:proofErr w:type="spellStart"/>
      <w:r>
        <w:rPr>
          <w:szCs w:val="24"/>
        </w:rPr>
        <w:t>periurban</w:t>
      </w:r>
      <w:proofErr w:type="spellEnd"/>
      <w:r>
        <w:rPr>
          <w:szCs w:val="24"/>
        </w:rPr>
        <w:t xml:space="preserve"> intern cu microbuze electrice.</w:t>
      </w:r>
    </w:p>
    <w:p w14:paraId="2EC14FB9" w14:textId="77777777" w:rsidR="00103410" w:rsidRDefault="00000000">
      <w:pPr>
        <w:pStyle w:val="Corptext"/>
      </w:pPr>
      <w:r>
        <w:rPr>
          <w:b/>
          <w:bCs/>
          <w:szCs w:val="24"/>
        </w:rPr>
        <w:t>Cvorum necesar:</w:t>
      </w:r>
      <w:r>
        <w:rPr>
          <w:szCs w:val="24"/>
        </w:rPr>
        <w:t xml:space="preserve"> majoritate absolută (jumătate plus unu din numărul consilierilor în funcție), conform art. 139 alin. (3) lit. c) din O.U.G. nr. 57/2019.</w:t>
      </w:r>
    </w:p>
    <w:p w14:paraId="491C27DA" w14:textId="77777777" w:rsidR="00103410" w:rsidRDefault="00000000">
      <w:r>
        <w:rPr>
          <w:szCs w:val="24"/>
        </w:rPr>
        <w:pict w14:anchorId="12B03D29">
          <v:rect id="_x0000_i1027" style="width:0;height:1.5pt" o:hralign="center" o:hrstd="t" o:hr="t"/>
        </w:pic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3156"/>
        <w:gridCol w:w="3185"/>
        <w:gridCol w:w="3004"/>
      </w:tblGrid>
      <w:tr w:rsidR="00103410" w14:paraId="28E548CB"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831A026" w14:textId="77777777" w:rsidR="00103410" w:rsidRDefault="00000000">
            <w:pPr>
              <w:spacing w:before="40" w:after="40"/>
              <w:ind w:firstLine="0"/>
              <w:jc w:val="center"/>
            </w:pPr>
            <w:r>
              <w:rPr>
                <w:b/>
                <w:color w:val="FFFFFF"/>
                <w:sz w:val="20"/>
              </w:rPr>
              <w:t>ȘEF SERVICIU BUGET CONTABILITATE FINANȚE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2D9B65D" w14:textId="77777777" w:rsidR="00103410" w:rsidRDefault="00000000">
            <w:pPr>
              <w:spacing w:before="40" w:after="40"/>
              <w:ind w:firstLine="0"/>
              <w:jc w:val="center"/>
            </w:pPr>
            <w:r>
              <w:rPr>
                <w:b/>
                <w:color w:val="FFFFFF"/>
                <w:sz w:val="20"/>
              </w:rPr>
              <w:t>ȘEF SERVICIU ADMINISTRAȚIE PUBLICĂ LOCALĂ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535B81E" w14:textId="77777777" w:rsidR="00103410" w:rsidRDefault="00000000">
            <w:pPr>
              <w:spacing w:before="40" w:after="40"/>
              <w:ind w:firstLine="0"/>
              <w:jc w:val="center"/>
            </w:pPr>
            <w:r>
              <w:rPr>
                <w:b/>
                <w:color w:val="FFFFFF"/>
                <w:sz w:val="20"/>
              </w:rPr>
              <w:t>INSPECTOR COMPARTIMENT TRANSPORT</w:t>
            </w:r>
          </w:p>
        </w:tc>
      </w:tr>
      <w:tr w:rsidR="00103410" w14:paraId="2FB16FB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F2661E5" w14:textId="77777777" w:rsidR="00103410" w:rsidRDefault="00000000">
            <w:pPr>
              <w:spacing w:before="40" w:after="40"/>
              <w:ind w:firstLine="0"/>
              <w:jc w:val="left"/>
            </w:pPr>
            <w:r>
              <w:rPr>
                <w:sz w:val="20"/>
              </w:rPr>
              <w:t>Angelica HUDREA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FA5D847" w14:textId="77777777" w:rsidR="00103410" w:rsidRDefault="00645F1A">
            <w:pPr>
              <w:spacing w:before="40" w:after="40"/>
              <w:ind w:firstLine="0"/>
              <w:jc w:val="left"/>
              <w:rPr>
                <w:sz w:val="20"/>
              </w:rPr>
            </w:pPr>
            <w:r>
              <w:rPr>
                <w:sz w:val="20"/>
              </w:rPr>
              <w:t>Pentru Alina Simona SÂMAN</w:t>
            </w:r>
          </w:p>
          <w:p w14:paraId="778DD451" w14:textId="77777777" w:rsidR="00645F1A" w:rsidRDefault="00645F1A">
            <w:pPr>
              <w:spacing w:before="40" w:after="40"/>
              <w:ind w:firstLine="0"/>
              <w:jc w:val="left"/>
              <w:rPr>
                <w:sz w:val="20"/>
              </w:rPr>
            </w:pPr>
            <w:r>
              <w:rPr>
                <w:sz w:val="20"/>
              </w:rPr>
              <w:t xml:space="preserve">Semnează consilier juridic </w:t>
            </w:r>
          </w:p>
          <w:p w14:paraId="7E867956" w14:textId="246CA8A0" w:rsidR="00645F1A" w:rsidRDefault="00645F1A">
            <w:pPr>
              <w:spacing w:before="40" w:after="40"/>
              <w:ind w:firstLine="0"/>
              <w:jc w:val="left"/>
            </w:pPr>
            <w:r>
              <w:rPr>
                <w:sz w:val="20"/>
              </w:rPr>
              <w:t>Simona PASCU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7E9CEDC" w14:textId="77777777" w:rsidR="00103410" w:rsidRDefault="00000000">
            <w:pPr>
              <w:spacing w:before="40" w:after="40"/>
              <w:ind w:firstLine="0"/>
              <w:jc w:val="left"/>
            </w:pPr>
            <w:r>
              <w:rPr>
                <w:sz w:val="20"/>
              </w:rPr>
              <w:t>Horia CHIRUȚĂ</w:t>
            </w:r>
          </w:p>
        </w:tc>
      </w:tr>
      <w:tr w:rsidR="00103410" w14:paraId="4EC871E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517963F" w14:textId="77777777" w:rsidR="00103410" w:rsidRDefault="00000000">
            <w:pPr>
              <w:spacing w:before="40" w:after="40"/>
              <w:ind w:firstLine="0"/>
              <w:jc w:val="left"/>
            </w:pPr>
            <w:r>
              <w:rPr>
                <w:sz w:val="20"/>
              </w:rPr>
              <w:t>_______________________</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4EBD5C4" w14:textId="77777777" w:rsidR="00103410" w:rsidRDefault="00000000">
            <w:pPr>
              <w:spacing w:before="40" w:after="40"/>
              <w:ind w:firstLine="0"/>
              <w:jc w:val="left"/>
            </w:pPr>
            <w:r>
              <w:rPr>
                <w:sz w:val="20"/>
              </w:rPr>
              <w:t>_______________________</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67482BD" w14:textId="77777777" w:rsidR="00103410" w:rsidRDefault="00000000">
            <w:pPr>
              <w:spacing w:before="40" w:after="40"/>
              <w:ind w:firstLine="0"/>
              <w:jc w:val="left"/>
            </w:pPr>
            <w:r>
              <w:rPr>
                <w:sz w:val="20"/>
              </w:rPr>
              <w:t>_______________________</w:t>
            </w:r>
          </w:p>
        </w:tc>
      </w:tr>
      <w:bookmarkEnd w:id="0"/>
      <w:bookmarkEnd w:id="10"/>
    </w:tbl>
    <w:p w14:paraId="7AC5FA83" w14:textId="77777777" w:rsidR="008D3E65" w:rsidRDefault="008D3E65"/>
    <w:sectPr w:rsidR="008D3E65"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EC80F" w14:textId="77777777" w:rsidR="001C121F" w:rsidRDefault="001C121F">
      <w:pPr>
        <w:spacing w:after="0" w:line="240" w:lineRule="auto"/>
      </w:pPr>
      <w:r>
        <w:separator/>
      </w:r>
    </w:p>
  </w:endnote>
  <w:endnote w:type="continuationSeparator" w:id="0">
    <w:p w14:paraId="6C8305C2" w14:textId="77777777" w:rsidR="001C121F" w:rsidRDefault="001C1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4C98" w14:textId="77777777" w:rsidR="00103410" w:rsidRDefault="00000000">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8023A" w14:textId="77777777" w:rsidR="001C121F" w:rsidRDefault="001C121F">
      <w:pPr>
        <w:spacing w:after="0" w:line="240" w:lineRule="auto"/>
      </w:pPr>
      <w:r>
        <w:separator/>
      </w:r>
    </w:p>
  </w:footnote>
  <w:footnote w:type="continuationSeparator" w:id="0">
    <w:p w14:paraId="71357FF2" w14:textId="77777777" w:rsidR="001C121F" w:rsidRDefault="001C12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84CF" w14:textId="77777777" w:rsidR="00103410" w:rsidRDefault="00000000">
    <w:pPr>
      <w:spacing w:after="0" w:line="240" w:lineRule="auto"/>
      <w:ind w:firstLine="0"/>
      <w:jc w:val="center"/>
    </w:pPr>
    <w:r>
      <w:rPr>
        <w:rFonts w:ascii="Arial" w:hAnsi="Arial"/>
        <w:b/>
        <w:sz w:val="22"/>
      </w:rPr>
      <w:t>ROMÂNIA</w:t>
    </w:r>
  </w:p>
  <w:p w14:paraId="1F82D25E" w14:textId="77777777" w:rsidR="00103410" w:rsidRDefault="00000000">
    <w:pPr>
      <w:spacing w:after="0" w:line="240" w:lineRule="auto"/>
      <w:ind w:firstLine="0"/>
      <w:jc w:val="center"/>
    </w:pPr>
    <w:r>
      <w:rPr>
        <w:rFonts w:ascii="Arial" w:hAnsi="Arial"/>
        <w:b/>
        <w:sz w:val="22"/>
      </w:rPr>
      <w:t>JUDEȚUL TIMIȘ</w:t>
    </w:r>
  </w:p>
  <w:p w14:paraId="78CD1977" w14:textId="77777777" w:rsidR="00103410" w:rsidRDefault="00000000">
    <w:pPr>
      <w:spacing w:after="0" w:line="240" w:lineRule="auto"/>
      <w:ind w:firstLine="0"/>
      <w:jc w:val="center"/>
    </w:pPr>
    <w:r>
      <w:rPr>
        <w:rFonts w:ascii="Arial" w:hAnsi="Arial"/>
        <w:b/>
        <w:sz w:val="22"/>
      </w:rPr>
      <w:t>ORAȘUL BUZIAȘ</w:t>
    </w:r>
  </w:p>
  <w:p w14:paraId="6F56E8B5" w14:textId="77777777" w:rsidR="00103410" w:rsidRDefault="00000000">
    <w:pPr>
      <w:spacing w:after="0" w:line="240" w:lineRule="auto"/>
      <w:ind w:firstLine="0"/>
      <w:jc w:val="center"/>
    </w:pPr>
    <w:r>
      <w:rPr>
        <w:rFonts w:ascii="Arial" w:hAnsi="Arial"/>
        <w:b/>
        <w:sz w:val="22"/>
      </w:rPr>
      <w:t>PRIMĂRIA ORAȘULUI BUZIAȘ — Servicii de Specialitate</w:t>
    </w:r>
  </w:p>
  <w:p w14:paraId="742A58F8" w14:textId="77777777" w:rsidR="00103410" w:rsidRDefault="00000000">
    <w:pPr>
      <w:spacing w:after="0" w:line="240" w:lineRule="auto"/>
      <w:ind w:firstLine="0"/>
      <w:jc w:val="center"/>
    </w:pPr>
    <w:r>
      <w:rPr>
        <w:rFonts w:ascii="Arial" w:hAnsi="Arial"/>
        <w:i/>
        <w:sz w:val="16"/>
      </w:rPr>
      <w:t>Str. Principală nr. 16B, BUZIAȘ, JUD. TIMIȘ • Tel./Fax. 0256/321.450 • primbuzias@yahoo.com • www.primariabuzias.ro</w:t>
    </w:r>
  </w:p>
  <w:p w14:paraId="17A40D9E" w14:textId="77777777" w:rsidR="00103410" w:rsidRDefault="00103410">
    <w:pPr>
      <w:pBdr>
        <w:bottom w:val="single" w:sz="8" w:space="1" w:color="000000"/>
      </w:pBdr>
      <w:spacing w:after="0" w:line="240" w:lineRule="aut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0000A990"/>
    <w:multiLevelType w:val="multilevel"/>
    <w:tmpl w:val="2814E6F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28137571">
    <w:abstractNumId w:val="8"/>
  </w:num>
  <w:num w:numId="2" w16cid:durableId="1936664972">
    <w:abstractNumId w:val="6"/>
  </w:num>
  <w:num w:numId="3" w16cid:durableId="239221352">
    <w:abstractNumId w:val="5"/>
  </w:num>
  <w:num w:numId="4" w16cid:durableId="717512662">
    <w:abstractNumId w:val="4"/>
  </w:num>
  <w:num w:numId="5" w16cid:durableId="9961851">
    <w:abstractNumId w:val="7"/>
  </w:num>
  <w:num w:numId="6" w16cid:durableId="2103447652">
    <w:abstractNumId w:val="3"/>
  </w:num>
  <w:num w:numId="7" w16cid:durableId="993798070">
    <w:abstractNumId w:val="2"/>
  </w:num>
  <w:num w:numId="8" w16cid:durableId="488985833">
    <w:abstractNumId w:val="1"/>
  </w:num>
  <w:num w:numId="9" w16cid:durableId="499468850">
    <w:abstractNumId w:val="0"/>
  </w:num>
  <w:num w:numId="10" w16cid:durableId="15937054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03410"/>
    <w:rsid w:val="0015074B"/>
    <w:rsid w:val="00181B7B"/>
    <w:rsid w:val="001C121F"/>
    <w:rsid w:val="0029639D"/>
    <w:rsid w:val="00326F90"/>
    <w:rsid w:val="003B7A35"/>
    <w:rsid w:val="003D7C9D"/>
    <w:rsid w:val="00450CCA"/>
    <w:rsid w:val="005A0749"/>
    <w:rsid w:val="00645F1A"/>
    <w:rsid w:val="007776C6"/>
    <w:rsid w:val="008D3E65"/>
    <w:rsid w:val="00A46425"/>
    <w:rsid w:val="00AA1D8D"/>
    <w:rsid w:val="00AE788A"/>
    <w:rsid w:val="00B15C59"/>
    <w:rsid w:val="00B47730"/>
    <w:rsid w:val="00C605DB"/>
    <w:rsid w:val="00CA7FD7"/>
    <w:rsid w:val="00CB0664"/>
    <w:rsid w:val="00DE7301"/>
    <w:rsid w:val="00F14959"/>
    <w:rsid w:val="00F2703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3B39F1"/>
  <w15:docId w15:val="{18A3E644-B0FE-4617-B21F-057F0A343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713</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17</cp:revision>
  <dcterms:created xsi:type="dcterms:W3CDTF">2026-05-28T14:35:00Z</dcterms:created>
  <dcterms:modified xsi:type="dcterms:W3CDTF">2026-05-28T15:14:00Z</dcterms:modified>
</cp:coreProperties>
</file>